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60"/>
        <w:jc w:val="center"/>
      </w:pPr>
      <w:r>
        <w:drawing>
          <wp:inline xmlns:a="http://schemas.openxmlformats.org/drawingml/2006/main" xmlns:pic="http://schemas.openxmlformats.org/drawingml/2006/picture">
            <wp:extent cx="3311999" cy="957720"/>
            <wp:docPr id="1" name="Picture 1" descr="Bahri Budak Tekstil Danışmanlığı kurumsal logosu" title="Bahri Budak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b-logo-yata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1999" cy="957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700"/>
        <w:jc w:val="center"/>
      </w:pPr>
      <w:r>
        <w:rPr>
          <w:rFonts w:ascii="Inter" w:hAnsi="Inter"/>
          <w:b/>
          <w:color w:val="0B2343"/>
          <w:sz w:val="50"/>
        </w:rPr>
        <w:t>REAKTİF BOYAMADA</w:t>
        <w:br/>
        <w:t>DOZAJLAMA EĞRİLERİ</w:t>
      </w:r>
    </w:p>
    <w:p>
      <w:pPr>
        <w:spacing w:before="160" w:after="160"/>
        <w:jc w:val="center"/>
      </w:pPr>
      <w:r>
        <w:rPr>
          <w:b/>
          <w:color w:val="2EA6D9"/>
          <w:sz w:val="26"/>
        </w:rPr>
        <w:t>Reaktif Boyama / Reactive Dyeing</w:t>
      </w:r>
    </w:p>
    <w:p>
      <w:pPr>
        <w:jc w:val="center"/>
      </w:pPr>
      <w:r>
        <w:rPr>
          <w:color w:val="12365E"/>
          <w:sz w:val="21"/>
        </w:rPr>
        <w:t>Teknik İnceleme ve Uygulama Esasları</w:t>
      </w:r>
    </w:p>
    <w:p/>
    <w:p>
      <w:pPr>
        <w:spacing w:after="0"/>
      </w:pPr>
    </w:p>
    <w:p>
      <w:pPr>
        <w:spacing w:before="800"/>
        <w:jc w:val="center"/>
      </w:pPr>
      <w:r>
        <w:rPr>
          <w:color w:val="5D5F63"/>
          <w:sz w:val="18"/>
        </w:rPr>
        <w:t>Yayın tarihi: 26 Haziran 2026</w:t>
      </w:r>
    </w:p>
    <w:p>
      <w:r>
        <w:br w:type="page"/>
      </w:r>
    </w:p>
    <w:p>
      <w:pPr>
        <w:pStyle w:val="Heading1"/>
        <w:pBdr>
          <w:bottom w:val="single" w:sz="12" w:space="2" w:color="2EA6D9"/>
        </w:pBdr>
        <w:keepNext/>
        <w:keepLines/>
      </w:pPr>
      <w:r>
        <w:t>1. Dozajlama Eğrilerinin Tanımı / Dosing Curve Definitions</w:t>
      </w:r>
    </w:p>
    <w:p>
      <w:r>
        <w:rPr>
          <w:b/>
        </w:rPr>
        <w:t xml:space="preserve">Dozajlama eğrisi iki ayrı grafik üzerinden okunmalıdır: </w:t>
      </w:r>
      <w:r>
        <w:t>kümülatif verilen hacim V(t) ve anlık pompa debisi Q(t). Bu iki grafik birbirine karıştırıldığında “düz çizgi”, “eğri altında kalan alan” ve “tepe debi” yorumları hatalı hâle gelir.</w:t>
      </w:r>
    </w:p>
    <w:p>
      <w:pPr>
        <w:pStyle w:val="Heading2"/>
        <w:keepNext/>
        <w:keepLines/>
      </w:pPr>
      <w:r>
        <w:t>1.1 Lineer Dozajlama / Linear Dosing</w:t>
      </w:r>
    </w:p>
    <w:p>
      <w:r>
        <w:rPr>
          <w:b/>
        </w:rPr>
        <w:t xml:space="preserve">Anlık debi sabittir. </w:t>
      </w:r>
      <w:r>
        <w:t>Eşit zaman aralıklarında eşit hacim verilir. Bu nedenle Q(t) grafiği yatay, kümülatif hacim V(t) grafiği ise doğrusal artan bir çizgidir.</w:t>
      </w:r>
    </w:p>
    <w:p>
      <w:pPr>
        <w:pStyle w:val="Heading2"/>
        <w:keepNext/>
        <w:keepLines/>
      </w:pPr>
      <w:r>
        <w:t>1.2 Progresif Dozajlama / Progressive Dosing</w:t>
      </w:r>
    </w:p>
    <w:p>
      <w:r>
        <w:rPr>
          <w:b/>
        </w:rPr>
        <w:t xml:space="preserve">Anlık debi zamanla artar. </w:t>
      </w:r>
      <w:r>
        <w:t>Başlangıçtaki kimyasal giriş hızı düşük tutulur; süreç ilerledikçe debi yükseltilir. Amaç, özellikle alkali ilavesinde pH ve fiksaj hızının ani yükselmesini sınırlamaktır. Eğrinin güvenli olup olmadığı yalnız şekline değil, pompanın gerçek debisine ve banyo karışımına bağlıdır.</w:t>
      </w:r>
    </w:p>
    <w:p>
      <w:pPr>
        <w:pStyle w:val="Heading2"/>
        <w:keepNext/>
        <w:keepLines/>
      </w:pPr>
      <w:r>
        <w:t>1.3 Regresif Dozajlama / Regressive Dosing</w:t>
      </w:r>
    </w:p>
    <w:p>
      <w:r>
        <w:rPr>
          <w:b/>
        </w:rPr>
        <w:t xml:space="preserve">Anlık debi zamanla azalır. </w:t>
      </w:r>
      <w:r>
        <w:t>Başlangıçta yüksek, sonlara doğru düşük besleme yapılır. Ana reaktif boyama reçetelerinde evrensel bir tercih değildir; ancak belirli kimyasal besleme veya yıkama senaryolarında makine ve kimyasal tedarikçisi tarafından tanımlanabilir.</w:t>
      </w:r>
    </w:p>
    <w:p>
      <w:r>
        <w:drawing>
          <wp:inline xmlns:a="http://schemas.openxmlformats.org/drawingml/2006/main" xmlns:pic="http://schemas.openxmlformats.org/drawingml/2006/picture">
            <wp:extent cx="5688000" cy="3184655"/>
            <wp:docPr id="2" name="Picture 2" descr="Lineer, progresif ve regresif normalize kümülatif dozajlama eğrileri" title="Kümülatif Dozajlama Eğrileri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mulatif_dozajlama_egrileri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3184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Inter" w:hAnsi="Inter"/>
          <w:i/>
          <w:color w:val="5D5F63"/>
          <w:sz w:val="17"/>
        </w:rPr>
        <w:t>Şekil 1. Lineer, progresif ve regresif eğrilerin kümülatif hacim üzerinden karşılaştırılması (k = 2 örneği).</w:t>
      </w:r>
    </w:p>
    <w:p>
      <w:r>
        <w:drawing>
          <wp:inline xmlns:a="http://schemas.openxmlformats.org/drawingml/2006/main" xmlns:pic="http://schemas.openxmlformats.org/drawingml/2006/picture">
            <wp:extent cx="5688000" cy="3184655"/>
            <wp:docPr id="3" name="Picture 3" descr="Lineer, progresif ve regresif normalize anlık debi eğrileri" title="Anlık Debi Eğrileri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lik_debi_egrileri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3184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Inter" w:hAnsi="Inter"/>
          <w:i/>
          <w:color w:val="5D5F63"/>
          <w:sz w:val="17"/>
        </w:rPr>
        <w:t>Şekil 2. Aynı eğrilerin anlık debi üzerinden karşılaştırılması. Kümülatif hacim ile pompa debisi aynı grafik değildir.</w:t>
      </w:r>
    </w:p>
    <w:p>
      <w:pPr>
        <w:pStyle w:val="Heading1"/>
        <w:pBdr>
          <w:bottom w:val="single" w:sz="12" w:space="2" w:color="2EA6D9"/>
        </w:pBdr>
        <w:keepNext/>
        <w:keepLines/>
      </w:pPr>
      <w:r>
        <w:t>2. Boyarmadde, Elektrolit ve Alkali İçin Dozajlama Seçimi</w:t>
      </w:r>
    </w:p>
    <w:p>
      <w:r>
        <w:t>Tek bir “doğru eğri” bütün reaktif boyarmaddeler, renk derinlikleri ve makineler için geçerli değildir. Seçim; boyarmaddenin reaktif grubu ve çözünürlüğü, renk derinliği, flotte oranı, makine hidrodinamiği, alkali sistemi ve tedarikçi prosesine göre yapılmalıdır.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7"/>
        <w:gridCol w:w="3267"/>
        <w:gridCol w:w="3267"/>
      </w:tblGrid>
      <w:tr>
        <w:trPr>
          <w:tblHeader w:val="true"/>
          <w:cantSplit/>
        </w:trPr>
        <w:tc>
          <w:tcPr>
            <w:tcW w:type="dxa" w:w="1814"/>
            <w:shd w:fill="0B2343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Madde</w:t>
            </w:r>
          </w:p>
        </w:tc>
        <w:tc>
          <w:tcPr>
            <w:tcW w:type="dxa" w:w="2494"/>
            <w:shd w:fill="0B2343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Uygulanabilir Yaklaşım</w:t>
            </w:r>
          </w:p>
        </w:tc>
        <w:tc>
          <w:tcPr>
            <w:tcW w:type="dxa" w:w="5159"/>
            <w:shd w:fill="0B2343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Teknik Gerekçe ve Sınır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0B2343"/>
                <w:sz w:val="17"/>
              </w:rPr>
              <w:t>Boyarmadde / Dyestuff</w:t>
            </w:r>
          </w:p>
        </w:tc>
        <w:tc>
          <w:tcPr>
            <w:tcW w:type="dxa" w:w="2494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Reçeteye bağlı: ön ilave, lineer veya kontrollü progresif besleme</w:t>
            </w:r>
          </w:p>
        </w:tc>
        <w:tc>
          <w:tcPr>
            <w:tcW w:type="dxa" w:w="5159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r>
              <w:t>Çoğu çektirme prosesinde boyarmadde çözeltisi elektrolit ve alkali öncesinde banyoya alınır. Kontrollü besleme uygulanacaksa çözünürlük, karışım süresi, kumaş turu ve makine hidrodinamiği birlikte doğrulanmalıdır.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15" w:type="dxa"/>
              <w:start w:w="120" w:type="dxa"/>
              <w:bottom w:w="115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0B2343"/>
                <w:sz w:val="17"/>
              </w:rPr>
              <w:t>Elektrolit / Electrolyte</w:t>
            </w:r>
          </w:p>
        </w:tc>
        <w:tc>
          <w:tcPr>
            <w:tcW w:type="dxa" w:w="2494"/>
            <w:tcMar>
              <w:top w:w="115" w:type="dxa"/>
              <w:start w:w="120" w:type="dxa"/>
              <w:bottom w:w="115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Başlangıç ilavesi, porsiyonlu, progresif veya eş zamanlı besleme</w:t>
            </w:r>
          </w:p>
        </w:tc>
        <w:tc>
          <w:tcPr>
            <w:tcW w:type="dxa" w:w="5159"/>
            <w:tcMar>
              <w:top w:w="115" w:type="dxa"/>
              <w:start w:w="120" w:type="dxa"/>
              <w:bottom w:w="115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Tuz, boyarmaddenin life afinitesini ve çektirme hızını artırır. Koyu tonlarda belirli bir ön tuz payı uygulanabilir; kalan tuz alkaliyle birlikte veya ayrı dozajlanabilir. Seçim, boyarmadde serisine ve proses tasarımına bağlıdır.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0B2343"/>
                <w:sz w:val="17"/>
              </w:rPr>
              <w:t>Alkali / Alkali</w:t>
            </w:r>
          </w:p>
        </w:tc>
        <w:tc>
          <w:tcPr>
            <w:tcW w:type="dxa" w:w="2494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Kontrollü progresif veya porsiyonlu ilave; reçeteye bağlı</w:t>
            </w:r>
          </w:p>
        </w:tc>
        <w:tc>
          <w:tcPr>
            <w:tcW w:type="dxa" w:w="5159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r>
              <w:t>Alkali, selülozun reaktif boyarmaddeyle kovalent bağ oluşturmasını başlatır. Kontrollü ilavenin hedefi pH yükselişini ve fiksaj hızını yönetmektir. Progresif veya porsiyonlu ilave programı; reçete, otomasyon kabiliyeti ve boyarmadde serisine göre seçilir.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2"/>
      </w:tblGrid>
      <w:tr>
        <w:trPr>
          <w:cantSplit/>
        </w:trPr>
        <w:tc>
          <w:tcPr>
            <w:tcW w:type="dxa" w:w="9467"/>
            <w:shd w:fill="F3F6FA"/>
            <w:tcMar>
              <w:top w:w="180" w:type="dxa"/>
              <w:start w:w="220" w:type="dxa"/>
              <w:bottom w:w="180" w:type="dxa"/>
              <w:end w:w="220" w:type="dxa"/>
            </w:tcMar>
            <w:tcBorders>
              <w:left w:val="single" w:sz="18" w:color="2EA6D9"/>
            </w:tcBorders>
            <w:vAlign w:val="center"/>
          </w:tcPr>
          <w:p>
            <w:pPr>
              <w:spacing w:after="60" w:line="252" w:lineRule="auto"/>
            </w:pPr>
            <w:r>
              <w:rPr>
                <w:rFonts w:ascii="Inter" w:hAnsi="Inter"/>
                <w:b/>
                <w:color w:val="0B2343"/>
                <w:sz w:val="21"/>
              </w:rPr>
              <w:t>Haslık Açıklaması</w:t>
            </w:r>
          </w:p>
          <w:p>
            <w:pPr>
              <w:spacing w:after="0" w:line="252" w:lineRule="auto"/>
            </w:pPr>
            <w:r>
              <w:t>Ani pH yükselişi abraj ve yüzeysel fiksaj riskini artırabilir. Düşük yıkama veya sürtme haslığı değerlendirilirken; hidrolize olmuş ve yeterince uzaklaştırılmamış boyarmadde, yetersiz sabunlama, yanlış alkali miktarı ve eksik fiksaj birlikte incelenmelidir.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12" w:space="2" w:color="2EA6D9"/>
        </w:pBdr>
        <w:keepNext/>
        <w:keepLines/>
      </w:pPr>
      <w:r>
        <w:t>3. Koyu Tonlarda Proses Tasarımı</w:t>
      </w:r>
    </w:p>
    <w:p>
      <w:pPr>
        <w:pStyle w:val="Heading2"/>
        <w:keepNext/>
        <w:keepLines/>
      </w:pPr>
      <w:r>
        <w:t>3.1 Sıcaklık ve Migrasyon / Temperature and Migration</w:t>
      </w:r>
    </w:p>
    <w:p>
      <w:pPr>
        <w:pStyle w:val="ListBullet"/>
        <w:spacing w:after="60"/>
        <w:ind w:left="312" w:hanging="142"/>
      </w:pPr>
      <w:r>
        <w:t>Reaktif boyama sıcaklığı, boyarmaddenin reaktif sistemine göre belirlenir. Belirli bifonksiyonel serilerde 60 °C; ftalosiyanin esaslı turkuaz ve parlak yeşillerde 80 °C gibi farklı prosesler kullanılabilir.</w:t>
      </w:r>
    </w:p>
    <w:p>
      <w:pPr>
        <w:pStyle w:val="ListBullet"/>
        <w:spacing w:after="60"/>
        <w:ind w:left="312" w:hanging="142"/>
      </w:pPr>
      <w:r>
        <w:t>1,5-2,0 °C/dak ısıtma hızı, bazı reçetelerde başlangıç deneme aralığı olabilir; evrensel “maksimum” değildir. İzotermal proseslerde dozajlama, hedef sıcaklığa ulaşıldıktan sonra başlatılır.</w:t>
      </w:r>
    </w:p>
    <w:p>
      <w:pPr>
        <w:pStyle w:val="ListBullet"/>
        <w:spacing w:after="60"/>
        <w:ind w:left="312" w:hanging="142"/>
      </w:pPr>
      <w:r>
        <w:t>Alkali öncesi nötr sirkülasyon veya migrasyon süresi, yalnız dakika olarak değil, kumaş tur sayısı ve boyarmadde davranışıyla birlikte tanımlanmalıdır. 10-20 dakika bir deneme aralığı olabilir; standart süre değildir.</w:t>
      </w:r>
    </w:p>
    <w:p>
      <w:pPr>
        <w:pStyle w:val="Heading2"/>
        <w:keepNext/>
        <w:keepLines/>
      </w:pPr>
      <w:r>
        <w:t>3.2 Elektrolit / Electrolyte</w:t>
      </w:r>
    </w:p>
    <w:p>
      <w:pPr>
        <w:pStyle w:val="ListBullet"/>
        <w:spacing w:after="60"/>
        <w:ind w:left="312" w:hanging="142"/>
      </w:pPr>
      <w:r>
        <w:t>Koyu reçetelerde 60-80 g/L tuz görülebilir; ancak tedarikçi tablolarında 10-90 g/L gibi geniş aralıklar bulunur. Dozaj, renk derinliği, flotte oranı, lif türü ve boyarmadde serisine bağlıdır.</w:t>
      </w:r>
    </w:p>
    <w:p>
      <w:pPr>
        <w:pStyle w:val="ListBullet"/>
        <w:spacing w:after="60"/>
        <w:ind w:left="312" w:hanging="142"/>
      </w:pPr>
      <w:r>
        <w:t>Yüksek elektrolit derişimi bazı reaktif boyarmaddelerin çözünürlüğünü düşürerek aglomerasyon ve nokta riskini artırabilir. Bu risk ftalosiyanin esaslı turkuazlarda özellikle önemlidir.</w:t>
      </w:r>
    </w:p>
    <w:p>
      <w:pPr>
        <w:pStyle w:val="ListBullet"/>
        <w:spacing w:after="60"/>
        <w:ind w:left="312" w:hanging="142"/>
      </w:pPr>
      <w:r>
        <w:t>Tuzun tamamını tek seferde vermek yerine ön ilave + kontrollü besleme veya porsiyonlu ilave uygulanabilir. Bununla birlikte, seçilen yöntem tedarikçi prosesine göre doğrulanmalıdır.</w:t>
      </w:r>
    </w:p>
    <w:p>
      <w:pPr>
        <w:pStyle w:val="Heading2"/>
        <w:keepNext/>
        <w:keepLines/>
      </w:pPr>
      <w:r>
        <w:t>3.3 Alkali ve Fiksaj / Alkali and Fixation</w:t>
      </w:r>
    </w:p>
    <w:p>
      <w:pPr>
        <w:pStyle w:val="ListBullet"/>
        <w:spacing w:after="60"/>
        <w:ind w:left="312" w:hanging="142"/>
      </w:pPr>
      <w:r>
        <w:t>Kontrollü alkali ilavesi, pH yükselişini ve fiksaj hızını yumuşatır. Progresif veya porsiyonlu program seçimi, otomasyon kabiliyeti ve boyarmadde serisine bağlıdır.</w:t>
      </w:r>
    </w:p>
    <w:p>
      <w:pPr>
        <w:pStyle w:val="ListBullet"/>
        <w:spacing w:after="60"/>
        <w:ind w:left="312" w:hanging="142"/>
      </w:pPr>
      <w:r>
        <w:t>30-60 dakika alkali dozajı ve 30-60 dakika fiksaj beklemesi, tedarikçi proseslerinde görülen örnek aralıklardır. Uygun süre; boyarmadde serisi, renk derinliği, flotte oranı, makine hidrodinamiği ve hedef pH profiline göre belirlenmelidir.</w:t>
      </w:r>
    </w:p>
    <w:p>
      <w:pPr>
        <w:pStyle w:val="ListBullet"/>
        <w:spacing w:after="60"/>
        <w:ind w:left="312" w:hanging="142"/>
      </w:pPr>
      <w:r>
        <w:t>Dozajlama boyunca pH, sıcaklık, pompa çıkışı ve banyo sirkülasyonu izlenmelidir. Son pH tek başına yeterli değildir; pH-zaman eğrisi değerlendirilmelidir.</w:t>
      </w:r>
    </w:p>
    <w:p>
      <w:pPr>
        <w:pStyle w:val="Heading2"/>
        <w:keepNext/>
        <w:keepLines/>
      </w:pPr>
      <w:r>
        <w:t>3.4 Makine Tur Süresi / Fabric Circulation Time</w:t>
      </w:r>
    </w:p>
    <w:p>
      <w:r>
        <w:t>Tur süresi, kumaşın aynı referans noktasından iki ardışık geçişi arasındaki gerçek süredir. En güvenilir yöntem, dikiş veya işaretli nokta üzerinden sahada ölçümdür. Tek halat için yaklaşık hesap aşağıdaki gibi kurulabilir: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17"/>
          <w:vertAlign w:val="subscript"/>
        </w:rPr>
        <w:t>tur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L</w:t>
      </w:r>
      <w:r>
        <w:rPr>
          <w:rFonts w:ascii="DejaVu Sans" w:hAnsi="DejaVu Sans"/>
          <w:color w:val="0B2343"/>
          <w:sz w:val="17"/>
          <w:vertAlign w:val="subscript"/>
        </w:rPr>
        <w:t>kumaş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kumaş</w:t>
      </w:r>
      <w:r>
        <w:rPr>
          <w:rFonts w:ascii="Inter" w:hAnsi="Inter"/>
          <w:color w:val="5D5F63"/>
          <w:sz w:val="18"/>
        </w:rPr>
        <w:t xml:space="preserve">    (dak)</w:t>
      </w:r>
    </w:p>
    <w:p>
      <w:r>
        <w:rPr>
          <w:b/>
        </w:rPr>
        <w:t>Dozajlama sırasında gerçekleşen yaklaşık tur sayısı: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n</w:t>
      </w:r>
      <w:r>
        <w:rPr>
          <w:rFonts w:ascii="DejaVu Sans" w:hAnsi="DejaVu Sans"/>
          <w:color w:val="0B2343"/>
          <w:sz w:val="17"/>
          <w:vertAlign w:val="subscript"/>
        </w:rPr>
        <w:t>tur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17"/>
          <w:vertAlign w:val="subscript"/>
        </w:rPr>
        <w:t>doz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17"/>
          <w:vertAlign w:val="subscript"/>
        </w:rPr>
        <w:t>tur</w:t>
      </w:r>
      <w:r>
        <w:rPr>
          <w:rFonts w:ascii="Inter" w:hAnsi="Inter"/>
          <w:color w:val="5D5F63"/>
          <w:sz w:val="18"/>
        </w:rPr>
        <w:t xml:space="preserve">    (-)</w:t>
      </w:r>
    </w:p>
    <w:p>
      <w:pPr/>
      <w:r>
        <w:t>Örnek: Tur süresi 2,5 dakika ve alkali dozajı 45 dakika ise kumaş yaklaşık 18 tur; 60 dakika ise yaklaşık 24 tur yapar. Dozaj süresi yalnız tur süresinin sabit bir katıyla değil; hedef tur sayısı, gerçek debi, pH-zaman profili ve renk derinliği birlikte değerlendirilerek belirlenmelidir.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2"/>
      </w:tblGrid>
      <w:tr>
        <w:trPr>
          <w:cantSplit/>
        </w:trPr>
        <w:tc>
          <w:tcPr>
            <w:tcW w:type="dxa" w:w="9467"/>
            <w:shd w:fill="EAF6FC"/>
            <w:tcMar>
              <w:top w:w="180" w:type="dxa"/>
              <w:start w:w="220" w:type="dxa"/>
              <w:bottom w:w="180" w:type="dxa"/>
              <w:end w:w="220" w:type="dxa"/>
            </w:tcMar>
            <w:tcBorders>
              <w:left w:val="single" w:sz="18" w:color="2EA6D9"/>
            </w:tcBorders>
            <w:vAlign w:val="center"/>
          </w:tcPr>
          <w:p>
            <w:pPr>
              <w:spacing w:after="60" w:line="252" w:lineRule="auto"/>
            </w:pPr>
            <w:r>
              <w:rPr>
                <w:rFonts w:ascii="Inter" w:hAnsi="Inter"/>
                <w:b/>
                <w:color w:val="0B2343"/>
                <w:sz w:val="21"/>
              </w:rPr>
              <w:t>Makine Hidrodinamiği</w:t>
            </w:r>
          </w:p>
          <w:p>
            <w:pPr>
              <w:spacing w:after="0" w:line="252" w:lineRule="auto"/>
            </w:pPr>
            <w:r>
              <w:rPr>
                <w:rFonts w:ascii="Inter" w:hAnsi="Inter"/>
                <w:color w:val="263B57"/>
                <w:sz w:val="19"/>
              </w:rPr>
              <w:t>Dozajlama pompası debisi ile ana sirkülasyon pompası debisi aynı büyüklük değildir. Güvenli proses; dozaj noktasının yeri, ana flotte debisi, by-pass ve ölü hacimler, kumaş hızı, nozül basıncı, banyo oranı ve dozaj pompasının kalibrasyon eğrisi birlikte incelenerek doğrulanır.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12" w:space="2" w:color="2EA6D9"/>
        </w:pBdr>
        <w:keepNext/>
        <w:keepLines/>
      </w:pPr>
      <w:r>
        <w:t>4. Matematiksel Model / Mathematical Model</w:t>
      </w:r>
    </w:p>
    <w:p>
      <w:r>
        <w:t>Aşağıdaki model, progresif ve regresif eğrileri açıklamak için kullanılan normalize edilmiş genel bir mühendislik modelidir. Gerçek PLC algoritması üreticiye göre polinom, parabolik, üstel, logaritmik, parçalı doğrusal veya tablo tabanlı olabilir.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7"/>
        <w:gridCol w:w="3267"/>
        <w:gridCol w:w="3267"/>
      </w:tblGrid>
      <w:tr>
        <w:trPr>
          <w:tblHeader w:val="true"/>
          <w:cantSplit/>
        </w:trPr>
        <w:tc>
          <w:tcPr>
            <w:tcW w:type="dxa" w:w="1814"/>
            <w:shd w:fill="0B2343"/>
            <w:tcMar>
              <w:top w:w="105" w:type="dxa"/>
              <w:start w:w="120" w:type="dxa"/>
              <w:bottom w:w="10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Sembol</w:t>
            </w:r>
          </w:p>
        </w:tc>
        <w:tc>
          <w:tcPr>
            <w:tcW w:type="dxa" w:w="1247"/>
            <w:shd w:fill="0B2343"/>
            <w:tcMar>
              <w:top w:w="105" w:type="dxa"/>
              <w:start w:w="120" w:type="dxa"/>
              <w:bottom w:w="10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Birim</w:t>
            </w:r>
          </w:p>
        </w:tc>
        <w:tc>
          <w:tcPr>
            <w:tcW w:type="dxa" w:w="6406"/>
            <w:shd w:fill="0B2343"/>
            <w:tcMar>
              <w:top w:w="105" w:type="dxa"/>
              <w:start w:w="120" w:type="dxa"/>
              <w:bottom w:w="105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FFFFFF"/>
                <w:sz w:val="17"/>
              </w:rPr>
              <w:t>Tanım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Vtoplam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L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Dozaj tankından banyoya verilecek toplam çözelti hacmi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T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dak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Toplam dozajlama süresi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t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dak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Dozajlama başlangıcından itibaren geçen süre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x = t/T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-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Normalize zaman; 0 ≤ x ≤ 1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k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-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Eğri şekil parametresi</w:t>
            </w:r>
          </w:p>
        </w:tc>
      </w:tr>
      <w:tr>
        <w:trPr>
          <w:cantSplit/>
          <w:cantSplit/>
        </w:trPr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b/>
                <w:color w:val="263B57"/>
                <w:sz w:val="17"/>
              </w:rPr>
              <w:t>Q(t)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L/dak</w:t>
            </w:r>
          </w:p>
        </w:tc>
        <w:tc>
          <w:tcPr>
            <w:tcW w:type="dxa" w:w="6406"/>
            <w:tcMar>
              <w:top w:w="100" w:type="dxa"/>
              <w:start w:w="120" w:type="dxa"/>
              <w:bottom w:w="100" w:type="dxa"/>
              <w:end w:w="120" w:type="dxa"/>
            </w:tcMar>
            <w:shd w:fill="F3F6FA"/>
            <w:vAlign w:val="center"/>
          </w:tcPr>
          <w:p>
            <w:pPr>
              <w:spacing w:line="252" w:lineRule="auto"/>
            </w:pPr>
            <w:r>
              <w:rPr>
                <w:rFonts w:ascii="Inter" w:hAnsi="Inter"/>
                <w:color w:val="263B57"/>
                <w:sz w:val="17"/>
              </w:rPr>
              <w:t>Anlık dozajlama debisi</w:t>
            </w:r>
          </w:p>
        </w:tc>
      </w:tr>
    </w:tbl>
    <w:p/>
    <w:p>
      <w:pPr>
        <w:pStyle w:val="Heading2"/>
        <w:keepNext/>
        <w:keepLines/>
      </w:pPr>
      <w:r>
        <w:t>4.1 Lineer Model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·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 = d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>/d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= sabit</w:t>
      </w:r>
    </w:p>
    <w:p>
      <w:pPr>
        <w:pStyle w:val="Heading2"/>
        <w:keepNext/>
        <w:keepLines/>
      </w:pPr>
      <w:r>
        <w:t>4.2 Progresif Güç Modeli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· 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</w:t>
      </w:r>
      <w:r>
        <w:rPr>
          <w:rFonts w:ascii="DejaVu Sans" w:hAnsi="DejaVu Sans"/>
          <w:color w:val="0B2343"/>
          <w:sz w:val="17"/>
          <w:vertAlign w:val="superscript"/>
        </w:rPr>
        <w:t>k</w:t>
      </w:r>
      <w:r>
        <w:rPr>
          <w:rFonts w:ascii="DejaVu Sans" w:hAnsi="DejaVu Sans"/>
          <w:color w:val="0B2343"/>
          <w:sz w:val="22"/>
        </w:rPr>
        <w:t xml:space="preserve">    ;   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&gt; 1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·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· 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</w:t>
      </w:r>
      <w:r>
        <w:rPr>
          <w:rFonts w:ascii="DejaVu Sans" w:hAnsi="DejaVu Sans"/>
          <w:color w:val="0B2343"/>
          <w:sz w:val="17"/>
          <w:vertAlign w:val="superscript"/>
        </w:rPr>
        <w:t>k - 1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17"/>
          <w:vertAlign w:val="subscript"/>
        </w:rPr>
        <w:t>maks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·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</w:p>
    <w:p>
      <w:r>
        <w:t>Bu modelde k büyüdükçe dozajın daha büyük bölümü sürenin sonuna yığılır ve teorik son debi artar. Bu nedenle k, pompanın azami debisi ve banyo karışım kapasitesi dikkate alınmadan seçilemez.</w:t>
      </w:r>
    </w:p>
    <w:p>
      <w:pPr>
        <w:pStyle w:val="Heading2"/>
        <w:keepNext/>
        <w:keepLines/>
      </w:pPr>
      <w:r>
        <w:t>4.3 Regresif Güç Modeli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· [1 - (1 -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</w:t>
      </w:r>
      <w:r>
        <w:rPr>
          <w:rFonts w:ascii="DejaVu Sans" w:hAnsi="DejaVu Sans"/>
          <w:color w:val="0B2343"/>
          <w:sz w:val="17"/>
          <w:vertAlign w:val="superscript"/>
        </w:rPr>
        <w:t>k</w:t>
      </w:r>
      <w:r>
        <w:rPr>
          <w:rFonts w:ascii="DejaVu Sans" w:hAnsi="DejaVu Sans"/>
          <w:color w:val="0B2343"/>
          <w:sz w:val="22"/>
        </w:rPr>
        <w:t xml:space="preserve">]    ;   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&gt; 1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·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· (1 -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</w:t>
      </w:r>
      <w:r>
        <w:rPr>
          <w:rFonts w:ascii="DejaVu Sans" w:hAnsi="DejaVu Sans"/>
          <w:color w:val="0B2343"/>
          <w:sz w:val="17"/>
          <w:vertAlign w:val="superscript"/>
        </w:rPr>
        <w:t>k - 1</w:t>
      </w:r>
    </w:p>
    <w:p>
      <w:pPr>
        <w:pStyle w:val="Heading2"/>
        <w:keepNext/>
        <w:keepLines/>
      </w:pPr>
      <w:r>
        <w:t>4.4 Kütle Dengesi ve İntegral</w:t>
      </w:r>
    </w:p>
    <w:p>
      <w:r>
        <w:rPr>
          <w:b/>
        </w:rPr>
        <w:t>Doğru kontrol koşulları şunlardır: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 xml:space="preserve">(0) = 0    ;   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)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color w:val="0B2343"/>
          <w:sz w:val="22"/>
        </w:rPr>
        <w:t>∫</w:t>
      </w:r>
      <w:r>
        <w:rPr>
          <w:rFonts w:ascii="DejaVu Sans" w:hAnsi="DejaVu Sans"/>
          <w:color w:val="0B2343"/>
          <w:sz w:val="17"/>
          <w:vertAlign w:val="subscript"/>
        </w:rPr>
        <w:t>0</w:t>
      </w:r>
      <w:r>
        <w:rPr>
          <w:rFonts w:ascii="DejaVu Sans" w:hAnsi="DejaVu Sans"/>
          <w:color w:val="0B2343"/>
          <w:sz w:val="17"/>
          <w:vertAlign w:val="superscript"/>
        </w:rPr>
        <w:t>T</w:t>
      </w:r>
      <w:r>
        <w:rPr>
          <w:rFonts w:ascii="DejaVu Sans" w:hAnsi="DejaVu Sans"/>
          <w:color w:val="0B2343"/>
          <w:sz w:val="22"/>
        </w:rPr>
        <w:t xml:space="preserve"> </w:t>
      </w: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>) d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</w:p>
    <w:p>
      <w:pPr/>
      <w:r>
        <w:t>Toplam dozajlanan hacim, kümülatif V(t) eğrisinin altında kalan alan olarak değerlendirilmez; V(T) son değeridir. Eğri altındaki alan, anlık debi Q(t) grafiği için toplam hacmi verir.</w:t>
      </w:r>
    </w:p>
    <w:p>
      <w:pPr>
        <w:pStyle w:val="Heading2"/>
        <w:keepNext/>
        <w:keepLines/>
      </w:pPr>
      <w:r>
        <w:t>4.5 PLC İçin Ayrık Adım Hesabı</w:t>
      </w:r>
    </w:p>
    <w:p>
      <w:r>
        <w:t>PLC, toplam süreyi adımlara bölüyorsa i numaralı adımda verilecek hacim aşağıdaki şekilde hesaplanabilir: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color w:val="0B2343"/>
          <w:sz w:val="22"/>
        </w:rPr>
        <w:t>Δ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i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· [</w:t>
      </w:r>
      <w:r>
        <w:rPr>
          <w:rFonts w:ascii="DejaVu Sans" w:hAnsi="DejaVu Sans"/>
          <w:i/>
          <w:color w:val="0B2343"/>
          <w:sz w:val="22"/>
        </w:rPr>
        <w:t>F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x</w:t>
      </w:r>
      <w:r>
        <w:rPr>
          <w:rFonts w:ascii="DejaVu Sans" w:hAnsi="DejaVu Sans"/>
          <w:color w:val="0B2343"/>
          <w:sz w:val="17"/>
          <w:vertAlign w:val="subscript"/>
        </w:rPr>
        <w:t>i</w:t>
      </w:r>
      <w:r>
        <w:rPr>
          <w:rFonts w:ascii="DejaVu Sans" w:hAnsi="DejaVu Sans"/>
          <w:color w:val="0B2343"/>
          <w:sz w:val="22"/>
        </w:rPr>
        <w:t xml:space="preserve">) - </w:t>
      </w:r>
      <w:r>
        <w:rPr>
          <w:rFonts w:ascii="DejaVu Sans" w:hAnsi="DejaVu Sans"/>
          <w:i/>
          <w:color w:val="0B2343"/>
          <w:sz w:val="22"/>
        </w:rPr>
        <w:t>F</w:t>
      </w:r>
      <w:r>
        <w:rPr>
          <w:rFonts w:ascii="DejaVu Sans" w:hAnsi="DejaVu Sans"/>
          <w:color w:val="0B2343"/>
          <w:sz w:val="22"/>
        </w:rPr>
        <w:t>(</w:t>
      </w:r>
      <w:r>
        <w:rPr>
          <w:rFonts w:ascii="DejaVu Sans" w:hAnsi="DejaVu Sans"/>
          <w:i/>
          <w:color w:val="0B2343"/>
          <w:sz w:val="22"/>
        </w:rPr>
        <w:t>x</w:t>
      </w:r>
      <w:r>
        <w:rPr>
          <w:rFonts w:ascii="DejaVu Sans" w:hAnsi="DejaVu Sans"/>
          <w:color w:val="0B2343"/>
          <w:sz w:val="17"/>
          <w:vertAlign w:val="subscript"/>
        </w:rPr>
        <w:t>i - 1</w:t>
      </w:r>
      <w:r>
        <w:rPr>
          <w:rFonts w:ascii="DejaVu Sans" w:hAnsi="DejaVu Sans"/>
          <w:color w:val="0B2343"/>
          <w:sz w:val="22"/>
        </w:rPr>
        <w:t>)]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17"/>
          <w:vertAlign w:val="subscript"/>
        </w:rPr>
        <w:t>i</w:t>
      </w:r>
      <w:r>
        <w:rPr>
          <w:rFonts w:ascii="DejaVu Sans" w:hAnsi="DejaVu Sans"/>
          <w:color w:val="0B2343"/>
          <w:sz w:val="22"/>
        </w:rPr>
        <w:t xml:space="preserve"> = Δ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i</w:t>
      </w:r>
      <w:r>
        <w:rPr>
          <w:rFonts w:ascii="DejaVu Sans" w:hAnsi="DejaVu Sans"/>
          <w:color w:val="0B2343"/>
          <w:sz w:val="22"/>
        </w:rPr>
        <w:t xml:space="preserve"> / Δ</w:t>
      </w: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17"/>
          <w:vertAlign w:val="subscript"/>
        </w:rPr>
        <w:t>i</w:t>
      </w:r>
    </w:p>
    <w:p>
      <w:r>
        <w:t>Burada F(x), seçilen normalize kümülatif eğridir. Hesaplanan her Qᵢ değeri pompanın kalibre edilmiş asgari-azami debi aralığında kalmalı; vana gecikmesi, boru ölü hacmi ve geri basınç ayrıca dikkate alınmalıdır.</w:t>
      </w:r>
    </w:p>
    <w:p>
      <w:pPr>
        <w:pStyle w:val="Heading2"/>
        <w:keepNext/>
        <w:keepLines/>
      </w:pPr>
      <w:r>
        <w:t>4.6 Pompa Kapasitesi Kontrolü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17"/>
          <w:vertAlign w:val="subscript"/>
        </w:rPr>
        <w:t>ortalama</w:t>
      </w:r>
      <w:r>
        <w:rPr>
          <w:rFonts w:ascii="DejaVu Sans" w:hAnsi="DejaVu Sans"/>
          <w:color w:val="0B2343"/>
          <w:sz w:val="22"/>
        </w:rPr>
        <w:t xml:space="preserve"> =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T</w:t>
      </w:r>
    </w:p>
    <w:p>
      <w:pPr>
        <w:spacing w:before="80" w:after="100"/>
        <w:jc w:val="center"/>
        <w:keepLines/>
      </w:pPr>
      <w:r>
        <w:rPr>
          <w:rFonts w:ascii="DejaVu Sans" w:hAnsi="DejaVu Sans"/>
          <w:i/>
          <w:color w:val="0B2343"/>
          <w:sz w:val="22"/>
        </w:rPr>
        <w:t>T</w:t>
      </w:r>
      <w:r>
        <w:rPr>
          <w:rFonts w:ascii="DejaVu Sans" w:hAnsi="DejaVu Sans"/>
          <w:color w:val="0B2343"/>
          <w:sz w:val="22"/>
        </w:rPr>
        <w:t xml:space="preserve"> ≥ </w:t>
      </w:r>
      <w:r>
        <w:rPr>
          <w:rFonts w:ascii="DejaVu Sans" w:hAnsi="DejaVu Sans"/>
          <w:i/>
          <w:color w:val="0B2343"/>
          <w:sz w:val="22"/>
        </w:rPr>
        <w:t>k</w:t>
      </w:r>
      <w:r>
        <w:rPr>
          <w:rFonts w:ascii="DejaVu Sans" w:hAnsi="DejaVu Sans"/>
          <w:color w:val="0B2343"/>
          <w:sz w:val="22"/>
        </w:rPr>
        <w:t xml:space="preserve"> · </w:t>
      </w:r>
      <w:r>
        <w:rPr>
          <w:rFonts w:ascii="DejaVu Sans" w:hAnsi="DejaVu Sans"/>
          <w:i/>
          <w:color w:val="0B2343"/>
          <w:sz w:val="22"/>
        </w:rPr>
        <w:t>V</w:t>
      </w:r>
      <w:r>
        <w:rPr>
          <w:rFonts w:ascii="DejaVu Sans" w:hAnsi="DejaVu Sans"/>
          <w:color w:val="0B2343"/>
          <w:sz w:val="17"/>
          <w:vertAlign w:val="subscript"/>
        </w:rPr>
        <w:t>toplam</w:t>
      </w:r>
      <w:r>
        <w:rPr>
          <w:rFonts w:ascii="DejaVu Sans" w:hAnsi="DejaVu Sans"/>
          <w:color w:val="0B2343"/>
          <w:sz w:val="22"/>
        </w:rPr>
        <w:t xml:space="preserve"> / </w:t>
      </w:r>
      <w:r>
        <w:rPr>
          <w:rFonts w:ascii="DejaVu Sans" w:hAnsi="DejaVu Sans"/>
          <w:i/>
          <w:color w:val="0B2343"/>
          <w:sz w:val="22"/>
        </w:rPr>
        <w:t>Q</w:t>
      </w:r>
      <w:r>
        <w:rPr>
          <w:rFonts w:ascii="DejaVu Sans" w:hAnsi="DejaVu Sans"/>
          <w:color w:val="0B2343"/>
          <w:sz w:val="17"/>
          <w:vertAlign w:val="subscript"/>
        </w:rPr>
        <w:t>pompa,maks</w:t>
      </w:r>
      <w:r>
        <w:rPr>
          <w:rFonts w:ascii="Inter" w:hAnsi="Inter"/>
          <w:color w:val="5D5F63"/>
          <w:sz w:val="18"/>
        </w:rPr>
        <w:t xml:space="preserve">    (progresif güç modeli için)</w:t>
      </w:r>
    </w:p>
    <w:p>
      <w:r>
        <w:rPr>
          <w:b/>
        </w:rPr>
        <w:t xml:space="preserve">Sayısal örnek: </w:t>
      </w:r>
      <w:r>
        <w:t>Vtoplam = 600 L, T = 60 dak ve k = 2 ise ortalama debi 10 L/dak, teorik son debi 20 L/dak olur. Pompanın kalibre edilmiş azami debisi 15 L/dak ise bu eğri uygulanabilir değildir; süre uzatılmalı, k azaltılmalı veya çözelti hacmi yeniden düzenlenmelidir.</w:t>
      </w:r>
    </w:p>
    <w:p>
      <w:pPr>
        <w:pStyle w:val="Heading1"/>
        <w:pBdr>
          <w:bottom w:val="single" w:sz="12" w:space="2" w:color="2EA6D9"/>
        </w:pBdr>
        <w:keepNext/>
        <w:keepLines/>
      </w:pPr>
      <w:r>
        <w:t>5. Sonuç / Conclusion</w:t>
      </w:r>
    </w:p>
    <w:p>
      <w:pPr>
        <w:pStyle w:val="Lead"/>
      </w:pPr>
      <w:r>
        <w:t>Reaktif boyamada dozajlama eğrisi; boyarmadde çektirmesini, elektrolit etkisini ve alkaliyle başlayan fiksajı banyo hidrodinamiğiyle uyumlu hâle getiren bir proses kontrol aracıdır. Uygun eğri, yalnız “lineer-progresif-regresif” adıyla değil; gerçek L/dak değerleri, toplam çözelti hacmi, dozaj süresi, pH-zaman profili, kumaş tur süresi ve tedarikçi reçetesi birlikte değerlendirilerek seçilir.</w:t>
      </w:r>
    </w:p>
    <w:p>
      <w:pPr/>
      <w:r>
        <w:t>Koyu tonlarda kontrollü elektrolit ve alkali ilavesi, abraj riskini azaltabilir. Isıtma gradyanı, dozaj süresi ve gerekli tur sayısı evrensel sabitler olarak değil; boyarmadde sistemi, reçete, makine hidrodinamiği ve gerçek pH-zaman profili üzerinden belirlenmelidir. PLC parametreleri makine üreticisinin algoritmasıyla doğrulanmalı; matematiksel model pompa kapasitesi ve kütle dengesiyle sağlanmalıdır.</w:t>
      </w:r>
    </w:p>
    <w:p>
      <w:pPr>
        <w:spacing w:after="0"/>
      </w:pPr>
    </w:p>
    <w:p>
      <w:pPr>
        <w:pStyle w:val="Heading1"/>
        <w:pBdr>
          <w:bottom w:val="single" w:sz="12" w:space="2" w:color="2EA6D9"/>
        </w:pBdr>
        <w:keepNext/>
        <w:keepLines/>
      </w:pPr>
      <w:r>
        <w:t>6. Kaynakça / References</w:t>
      </w:r>
    </w:p>
    <w:p>
      <w:pPr>
        <w:pStyle w:val="References"/>
      </w:pPr>
      <w:r>
        <w:t>[1] CHT Germany GmbH. Process Recommendations for BEZAKTIV Dyes. Exhaust process, isothermal process and COMBI DOS sections; özellikle alkali dozajı, sıcaklık ve tuz/alkali miktar tabloları.</w:t>
      </w:r>
    </w:p>
    <w:p>
      <w:pPr>
        <w:pStyle w:val="References"/>
      </w:pPr>
      <w:r>
        <w:t>[2] CHT Germany GmbH. BEZAKTIV FX - Reactive Garment. COMBI DOS process ve turkuaz/parlak yeşil proses tabloları; renk derinliğine göre 30-60 dakika dozaj ve 30-60 dakika fiksaj örnekleri.</w:t>
      </w:r>
    </w:p>
    <w:p>
      <w:pPr>
        <w:pStyle w:val="References"/>
      </w:pPr>
      <w:r>
        <w:t>[3] US Patent 5,166,768 A (1992). Process for level exhaust of cellulose fibers with reactive dyes: addition of fixing alkali according to a parabolic time function. Alkali beslemesinin üretici/proses koşullarına bağlı polinom veya trigonometrik fonksiyonlarla programlanabileceğini açıklar.</w:t>
      </w:r>
    </w:p>
    <w:p>
      <w:pPr>
        <w:pStyle w:val="SmallNote"/>
      </w:pPr>
      <w:r>
        <w:t>Not: Bu çalışma, belirli bir makine için kesin üretim reçetesi değildir. Uygulamadan önce boyarmadde tedarikçisi teknik föyü, makine üreticisi dozaj algoritması ve işletmenin laboratuvar/parti doğrulaması esas alınmalıdır.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219" w:bottom="964" w:left="1219" w:header="425" w:footer="42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54" w:val="right"/>
      </w:tabs>
      <w:spacing w:before="40"/>
      <w:pBdr>
        <w:bottom w:val="single" w:sz="6" w:space="2" w:color="D8DDE5"/>
      </w:pBdr>
      <w:jc w:val="right"/>
    </w:pPr>
    <w:r>
      <w:rPr>
        <w:rFonts w:ascii="Inter" w:hAnsi="Inter"/>
        <w:color w:val="5D5F63"/>
        <w:sz w:val="16"/>
      </w:rPr>
      <w:t>Teknik Yayın Serisi  |  26.06.2026</w:t>
    </w:r>
    <w:r>
      <w:tab/>
    </w:r>
    <w:r>
      <w:rPr>
        <w:rFonts w:ascii="Inter" w:hAnsi="Inter"/>
        <w:color w:val="5D5F63"/>
        <w:sz w:val="17"/>
      </w:rPr>
      <w:t xml:space="preserve">Sayfa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081"/>
          <w:tcMar>
            <w:top w:w="0" w:type="dxa"/>
            <w:start w:w="0" w:type="dxa"/>
            <w:bottom w:w="60" w:type="dxa"/>
            <w:end w:w="0" w:type="dxa"/>
          </w:tcMar>
          <w:vAlign w:val="center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728000" cy="499680"/>
                <wp:docPr id="1" name="Picture 1" descr="Bahri Budak Tekstil Danışmanlığı kurumsal logosu" title="Bahri Budak Logo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bb-logo-yatay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996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555"/>
          <w:tcMar>
            <w:top w:w="0" w:type="dxa"/>
            <w:start w:w="0" w:type="dxa"/>
            <w:bottom w:w="60" w:type="dxa"/>
            <w:end w:w="0" w:type="dxa"/>
          </w:tcMar>
          <w:vAlign w:val="center"/>
        </w:tcPr>
        <w:p>
          <w:pPr>
            <w:jc w:val="right"/>
            <w:pBdr>
              <w:bottom w:val="single" w:sz="10" w:space="2" w:color="2EA6D9"/>
            </w:pBdr>
          </w:pPr>
          <w:r>
            <w:rPr>
              <w:rFonts w:ascii="Inter" w:hAnsi="Inter"/>
              <w:b/>
              <w:color w:val="0B2343"/>
              <w:sz w:val="16"/>
            </w:rPr>
            <w:t>ÖRGÜ  •  BOYA  •  APRE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8" w:lineRule="auto" w:after="120"/>
    </w:pPr>
    <w:rPr>
      <w:rFonts w:ascii="Inter" w:hAnsi="Inter" w:eastAsia="Inter"/>
      <w:color w:val="263B5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 w:val="0"/>
      <w:spacing w:before="280" w:after="140"/>
      <w:outlineLvl w:val="0"/>
    </w:pPr>
    <w:rPr>
      <w:rFonts w:asciiTheme="majorHAnsi" w:eastAsiaTheme="majorEastAsia" w:hAnsiTheme="majorHAnsi" w:cstheme="majorBidi" w:ascii="Inter" w:hAnsi="Inter" w:eastAsia="Inter"/>
      <w:b/>
      <w:bCs/>
      <w:color w:val="0B2343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20" w:after="100"/>
      <w:outlineLvl w:val="1"/>
    </w:pPr>
    <w:rPr>
      <w:rFonts w:asciiTheme="majorHAnsi" w:eastAsiaTheme="majorEastAsia" w:hAnsiTheme="majorHAnsi" w:cstheme="majorBidi" w:ascii="Inter" w:hAnsi="Inter" w:eastAsia="Inter"/>
      <w:b/>
      <w:bCs/>
      <w:color w:val="1236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Inter" w:hAnsi="Inter" w:eastAsia="Inter"/>
      <w:b/>
      <w:bCs/>
      <w:color w:val="0B234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Inter" w:hAnsi="Inter" w:eastAsia="Inter"/>
      <w:b/>
      <w:color w:val="0B2343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200"/>
    </w:pPr>
    <w:rPr>
      <w:rFonts w:asciiTheme="majorHAnsi" w:eastAsiaTheme="majorEastAsia" w:hAnsiTheme="majorHAnsi" w:cstheme="majorBidi" w:ascii="Inter" w:hAnsi="Inter" w:eastAsia="Inter"/>
      <w:b w:val="0"/>
      <w:i/>
      <w:iCs/>
      <w:color w:val="12365E"/>
      <w:spacing w:val="15"/>
      <w:sz w:val="2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ad">
    <w:name w:val="Lead"/>
    <w:pPr>
      <w:spacing w:line="288" w:lineRule="auto" w:after="200"/>
    </w:pPr>
    <w:rPr>
      <w:rFonts w:ascii="Inter" w:hAnsi="Inter" w:eastAsia="Inter"/>
      <w:color w:val="12365E"/>
      <w:sz w:val="22"/>
    </w:rPr>
  </w:style>
  <w:style w:type="paragraph" w:customStyle="1" w:styleId="SmallNote">
    <w:name w:val="Small Note"/>
    <w:pPr>
      <w:spacing w:line="259" w:lineRule="auto" w:after="80"/>
    </w:pPr>
    <w:rPr>
      <w:rFonts w:ascii="Inter" w:hAnsi="Inter" w:eastAsia="Inter"/>
      <w:color w:val="5D5F63"/>
      <w:sz w:val="17"/>
    </w:rPr>
  </w:style>
  <w:style w:type="paragraph" w:customStyle="1" w:styleId="References">
    <w:name w:val="References"/>
    <w:pPr>
      <w:spacing w:after="80"/>
      <w:ind w:left="283" w:hanging="283"/>
    </w:pPr>
    <w:rPr>
      <w:rFonts w:ascii="Inter" w:hAnsi="Inter" w:eastAsia="Inter"/>
      <w:color w:val="5D5F63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Reaktif Boyamada Dozajlama Eğrileri</dc:title>
  <dc:subject>Reaktif boyamada dozajlama eğrileri, proses tasarımı ve matematiksel model</dc:subject>
  <dc:creator>Bahri Budak</dc:creator>
  <cp:keywords>reaktif boyama, dozajlama, çektirme, fiksaj, PLC, debi, pH</cp:keywords>
  <dc:description>Yayına hazır teknik kitapçık nüshası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